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B0110" w14:textId="77777777" w:rsidR="006814A3" w:rsidRPr="006814A3" w:rsidRDefault="006814A3" w:rsidP="006814A3">
      <w:pPr>
        <w:jc w:val="center"/>
        <w:rPr>
          <w:rFonts w:ascii="Times New Roman" w:hAnsi="Times New Roman" w:cs="Times New Roman"/>
          <w:b/>
          <w:bCs/>
          <w:sz w:val="28"/>
          <w:szCs w:val="28"/>
          <w:u w:val="single"/>
        </w:rPr>
      </w:pPr>
      <w:r w:rsidRPr="006814A3">
        <w:rPr>
          <w:rFonts w:ascii="Times New Roman" w:hAnsi="Times New Roman" w:cs="Times New Roman"/>
          <w:b/>
          <w:bCs/>
          <w:sz w:val="28"/>
          <w:szCs w:val="28"/>
          <w:u w:val="single"/>
        </w:rPr>
        <w:t>Supplemental NOFO Frequently Asked Questions/Updates for projects submitting RFPs</w:t>
      </w:r>
    </w:p>
    <w:p w14:paraId="5654A1F8" w14:textId="77777777" w:rsidR="006814A3" w:rsidRPr="00215865" w:rsidRDefault="006814A3" w:rsidP="006814A3">
      <w:pPr>
        <w:rPr>
          <w:rFonts w:ascii="Times New Roman" w:hAnsi="Times New Roman" w:cs="Times New Roman"/>
        </w:rPr>
      </w:pPr>
    </w:p>
    <w:p w14:paraId="07D69B29" w14:textId="77777777" w:rsidR="006814A3" w:rsidRPr="00215865" w:rsidRDefault="006814A3" w:rsidP="006814A3">
      <w:pPr>
        <w:rPr>
          <w:rFonts w:ascii="Times New Roman" w:hAnsi="Times New Roman" w:cs="Times New Roman"/>
        </w:rPr>
      </w:pPr>
    </w:p>
    <w:p w14:paraId="4F0B353B" w14:textId="77777777" w:rsidR="006814A3" w:rsidRDefault="006814A3" w:rsidP="006814A3">
      <w:pPr>
        <w:pStyle w:val="ListParagraph"/>
        <w:numPr>
          <w:ilvl w:val="0"/>
          <w:numId w:val="15"/>
        </w:numPr>
        <w:spacing w:after="160" w:line="259" w:lineRule="auto"/>
        <w:rPr>
          <w:rFonts w:ascii="Times New Roman" w:hAnsi="Times New Roman" w:cs="Times New Roman"/>
        </w:rPr>
      </w:pPr>
      <w:r>
        <w:rPr>
          <w:rFonts w:ascii="Times New Roman" w:hAnsi="Times New Roman" w:cs="Times New Roman"/>
        </w:rPr>
        <w:t xml:space="preserve">Unsheltered vs Rural Funding Opportunities </w:t>
      </w:r>
    </w:p>
    <w:p w14:paraId="7C060141" w14:textId="77777777" w:rsidR="006814A3" w:rsidRDefault="006814A3" w:rsidP="006814A3">
      <w:pPr>
        <w:pStyle w:val="ListParagraph"/>
        <w:numPr>
          <w:ilvl w:val="1"/>
          <w:numId w:val="15"/>
        </w:numPr>
        <w:spacing w:after="160" w:line="259" w:lineRule="auto"/>
        <w:rPr>
          <w:rFonts w:ascii="Times New Roman" w:hAnsi="Times New Roman" w:cs="Times New Roman"/>
        </w:rPr>
      </w:pPr>
      <w:r>
        <w:rPr>
          <w:rFonts w:ascii="Times New Roman" w:hAnsi="Times New Roman" w:cs="Times New Roman"/>
        </w:rPr>
        <w:t>The Unsheltered funding opportunity can support projects that are serving any county in the CoC.</w:t>
      </w:r>
    </w:p>
    <w:p w14:paraId="0D6B1F3D" w14:textId="77777777" w:rsidR="006814A3" w:rsidRDefault="006814A3" w:rsidP="006814A3">
      <w:pPr>
        <w:pStyle w:val="ListParagraph"/>
        <w:numPr>
          <w:ilvl w:val="1"/>
          <w:numId w:val="15"/>
        </w:numPr>
        <w:spacing w:after="160" w:line="259" w:lineRule="auto"/>
        <w:rPr>
          <w:rFonts w:ascii="Times New Roman" w:hAnsi="Times New Roman" w:cs="Times New Roman"/>
        </w:rPr>
      </w:pPr>
      <w:r>
        <w:rPr>
          <w:rFonts w:ascii="Times New Roman" w:hAnsi="Times New Roman" w:cs="Times New Roman"/>
        </w:rPr>
        <w:t xml:space="preserve">The Rural funding opportunity can only support projects that are serving Cayuga County. </w:t>
      </w:r>
    </w:p>
    <w:p w14:paraId="619A2E1E" w14:textId="77777777" w:rsidR="006814A3" w:rsidRDefault="006814A3" w:rsidP="006814A3">
      <w:pPr>
        <w:pStyle w:val="ListParagraph"/>
        <w:numPr>
          <w:ilvl w:val="0"/>
          <w:numId w:val="15"/>
        </w:numPr>
        <w:spacing w:after="160" w:line="259" w:lineRule="auto"/>
        <w:rPr>
          <w:rFonts w:ascii="Times New Roman" w:hAnsi="Times New Roman" w:cs="Times New Roman"/>
        </w:rPr>
      </w:pPr>
      <w:r>
        <w:rPr>
          <w:rFonts w:ascii="Times New Roman" w:hAnsi="Times New Roman" w:cs="Times New Roman"/>
        </w:rPr>
        <w:t xml:space="preserve">Clarification about Unsheltered Housing Projects </w:t>
      </w:r>
    </w:p>
    <w:p w14:paraId="72E80F42" w14:textId="77777777" w:rsidR="006814A3" w:rsidRDefault="006814A3" w:rsidP="006814A3">
      <w:pPr>
        <w:pStyle w:val="ListParagraph"/>
        <w:numPr>
          <w:ilvl w:val="1"/>
          <w:numId w:val="15"/>
        </w:numPr>
        <w:spacing w:after="160" w:line="259" w:lineRule="auto"/>
        <w:rPr>
          <w:rFonts w:ascii="Times New Roman" w:hAnsi="Times New Roman" w:cs="Times New Roman"/>
        </w:rPr>
      </w:pPr>
      <w:r>
        <w:rPr>
          <w:rFonts w:ascii="Times New Roman" w:hAnsi="Times New Roman" w:cs="Times New Roman"/>
        </w:rPr>
        <w:t xml:space="preserve">Permanent housing projects funded through the Unsheltered </w:t>
      </w:r>
      <w:r w:rsidRPr="005F02A4">
        <w:rPr>
          <w:rFonts w:ascii="Times New Roman" w:hAnsi="Times New Roman" w:cs="Times New Roman"/>
          <w:b/>
          <w:bCs/>
        </w:rPr>
        <w:t>will not</w:t>
      </w:r>
      <w:r>
        <w:rPr>
          <w:rFonts w:ascii="Times New Roman" w:hAnsi="Times New Roman" w:cs="Times New Roman"/>
        </w:rPr>
        <w:t xml:space="preserve"> have to exclusively serve people currently experiencing unsheltered homelessness. Through the Coordinated Entry System, people who are currently experiencing unsheltered homelessness and people with histories of unsheltered homelessness will be prioritized. Projects will need to adhere to all Coordinated Entry policies and procedures. </w:t>
      </w:r>
    </w:p>
    <w:p w14:paraId="4B9E596D" w14:textId="77777777" w:rsidR="006814A3" w:rsidRPr="00215865" w:rsidRDefault="006814A3" w:rsidP="006814A3">
      <w:pPr>
        <w:pStyle w:val="ListParagraph"/>
        <w:numPr>
          <w:ilvl w:val="0"/>
          <w:numId w:val="15"/>
        </w:numPr>
        <w:spacing w:after="160" w:line="259" w:lineRule="auto"/>
        <w:rPr>
          <w:rFonts w:ascii="Times New Roman" w:hAnsi="Times New Roman" w:cs="Times New Roman"/>
        </w:rPr>
      </w:pPr>
      <w:r w:rsidRPr="00215865">
        <w:rPr>
          <w:rFonts w:ascii="Times New Roman" w:hAnsi="Times New Roman" w:cs="Times New Roman"/>
        </w:rPr>
        <w:t xml:space="preserve">Healthcare Commitment </w:t>
      </w:r>
    </w:p>
    <w:p w14:paraId="14D98D95" w14:textId="77777777" w:rsidR="006814A3" w:rsidRPr="00215865" w:rsidRDefault="006814A3" w:rsidP="006814A3">
      <w:pPr>
        <w:pStyle w:val="ListParagraph"/>
        <w:numPr>
          <w:ilvl w:val="1"/>
          <w:numId w:val="15"/>
        </w:numPr>
        <w:spacing w:after="160" w:line="259" w:lineRule="auto"/>
        <w:rPr>
          <w:rFonts w:ascii="Times New Roman" w:hAnsi="Times New Roman" w:cs="Times New Roman"/>
        </w:rPr>
      </w:pPr>
      <w:r w:rsidRPr="00215865">
        <w:rPr>
          <w:rFonts w:ascii="Times New Roman" w:hAnsi="Times New Roman" w:cs="Times New Roman"/>
        </w:rPr>
        <w:t xml:space="preserve">Agencies </w:t>
      </w:r>
      <w:r w:rsidRPr="00215865">
        <w:rPr>
          <w:rFonts w:ascii="Times New Roman" w:hAnsi="Times New Roman" w:cs="Times New Roman"/>
          <w:b/>
          <w:bCs/>
        </w:rPr>
        <w:t>do not</w:t>
      </w:r>
      <w:r w:rsidRPr="00215865">
        <w:rPr>
          <w:rFonts w:ascii="Times New Roman" w:hAnsi="Times New Roman" w:cs="Times New Roman"/>
        </w:rPr>
        <w:t xml:space="preserve"> need to secure direct funding from a healthcare entity to meet the 50% threshold. Agencies should be entering into MOUs with a healthcare provider willing to provide services to project participants that can be valued at 50% of the project ask. In the instance of Substance Use treatment, the healthcare entity must be willing to serve 100% of project participants who wish to engage in services. </w:t>
      </w:r>
    </w:p>
    <w:p w14:paraId="79193E94" w14:textId="77777777" w:rsidR="006814A3" w:rsidRDefault="006814A3" w:rsidP="006814A3">
      <w:pPr>
        <w:pStyle w:val="ListParagraph"/>
        <w:numPr>
          <w:ilvl w:val="1"/>
          <w:numId w:val="15"/>
        </w:numPr>
        <w:spacing w:after="160" w:line="259" w:lineRule="auto"/>
        <w:rPr>
          <w:rFonts w:ascii="Times New Roman" w:hAnsi="Times New Roman" w:cs="Times New Roman"/>
        </w:rPr>
      </w:pPr>
      <w:r w:rsidRPr="00FD72A2">
        <w:rPr>
          <w:rFonts w:ascii="Times New Roman" w:hAnsi="Times New Roman" w:cs="Times New Roman"/>
          <w:b/>
          <w:bCs/>
        </w:rPr>
        <w:t>Healthcare commitment is being removed as a threshold requirement</w:t>
      </w:r>
      <w:r>
        <w:rPr>
          <w:rFonts w:ascii="Times New Roman" w:hAnsi="Times New Roman" w:cs="Times New Roman"/>
          <w:b/>
          <w:bCs/>
        </w:rPr>
        <w:t xml:space="preserve"> for proposals</w:t>
      </w:r>
      <w:r w:rsidRPr="00FD72A2">
        <w:rPr>
          <w:rFonts w:ascii="Times New Roman" w:hAnsi="Times New Roman" w:cs="Times New Roman"/>
          <w:b/>
          <w:bCs/>
        </w:rPr>
        <w:t>.</w:t>
      </w:r>
      <w:r w:rsidRPr="00215865">
        <w:rPr>
          <w:rFonts w:ascii="Times New Roman" w:hAnsi="Times New Roman" w:cs="Times New Roman"/>
        </w:rPr>
        <w:t xml:space="preserve"> Agencies who have submitted or will be submitting applications with a healthcare partner will receive 20 bonus points on their applications. </w:t>
      </w:r>
    </w:p>
    <w:p w14:paraId="5882AF79" w14:textId="77777777" w:rsidR="006814A3" w:rsidRDefault="006814A3" w:rsidP="006814A3">
      <w:pPr>
        <w:pStyle w:val="ListParagraph"/>
        <w:numPr>
          <w:ilvl w:val="0"/>
          <w:numId w:val="15"/>
        </w:numPr>
        <w:spacing w:after="160" w:line="259" w:lineRule="auto"/>
        <w:rPr>
          <w:rFonts w:ascii="Times New Roman" w:hAnsi="Times New Roman" w:cs="Times New Roman"/>
        </w:rPr>
      </w:pPr>
      <w:r>
        <w:rPr>
          <w:rFonts w:ascii="Times New Roman" w:hAnsi="Times New Roman" w:cs="Times New Roman"/>
        </w:rPr>
        <w:t xml:space="preserve">Affordable Housing Partnership </w:t>
      </w:r>
    </w:p>
    <w:p w14:paraId="28928A9A" w14:textId="77777777" w:rsidR="006814A3" w:rsidRDefault="006814A3" w:rsidP="006814A3">
      <w:pPr>
        <w:pStyle w:val="ListParagraph"/>
        <w:numPr>
          <w:ilvl w:val="1"/>
          <w:numId w:val="15"/>
        </w:numPr>
        <w:spacing w:after="160" w:line="259" w:lineRule="auto"/>
        <w:rPr>
          <w:rFonts w:ascii="Times New Roman" w:hAnsi="Times New Roman" w:cs="Times New Roman"/>
        </w:rPr>
      </w:pPr>
      <w:r>
        <w:rPr>
          <w:rFonts w:ascii="Times New Roman" w:hAnsi="Times New Roman" w:cs="Times New Roman"/>
        </w:rPr>
        <w:t xml:space="preserve">The HHC is currently pursuing leveraging affordable housing slots to be paired with Rapid Rehousing and Permanent Supportive Housing projects. If your agency is willing is interested in partnering on this project type, please indicate that when submitting your application. </w:t>
      </w:r>
    </w:p>
    <w:p w14:paraId="18DC0107" w14:textId="77777777" w:rsidR="006814A3" w:rsidRDefault="006814A3" w:rsidP="006814A3">
      <w:pPr>
        <w:pStyle w:val="ListParagraph"/>
        <w:numPr>
          <w:ilvl w:val="0"/>
          <w:numId w:val="15"/>
        </w:numPr>
        <w:spacing w:after="160" w:line="259" w:lineRule="auto"/>
        <w:rPr>
          <w:rFonts w:ascii="Times New Roman" w:hAnsi="Times New Roman" w:cs="Times New Roman"/>
        </w:rPr>
      </w:pPr>
      <w:r>
        <w:rPr>
          <w:rFonts w:ascii="Times New Roman" w:hAnsi="Times New Roman" w:cs="Times New Roman"/>
        </w:rPr>
        <w:t xml:space="preserve">Cost Effectiveness/Supportive Services </w:t>
      </w:r>
    </w:p>
    <w:p w14:paraId="4B201D2B" w14:textId="77777777" w:rsidR="006814A3" w:rsidRPr="00215865" w:rsidRDefault="006814A3" w:rsidP="006814A3">
      <w:pPr>
        <w:pStyle w:val="ListParagraph"/>
        <w:numPr>
          <w:ilvl w:val="1"/>
          <w:numId w:val="15"/>
        </w:numPr>
        <w:spacing w:after="160" w:line="259" w:lineRule="auto"/>
        <w:rPr>
          <w:rFonts w:ascii="Times New Roman" w:hAnsi="Times New Roman" w:cs="Times New Roman"/>
        </w:rPr>
      </w:pPr>
      <w:r>
        <w:rPr>
          <w:rFonts w:ascii="Times New Roman" w:hAnsi="Times New Roman" w:cs="Times New Roman"/>
        </w:rPr>
        <w:t xml:space="preserve">The HHC recognizes that the cost of operating CoC projects has increased as related to staff costs/salaries. If a project is over the community averages for cost effectiveness due to staffing costs, please still submit the application. The HHC strongly encourages agencies to submit applications paying staff a living wage. </w:t>
      </w:r>
    </w:p>
    <w:p w14:paraId="4CA1E780" w14:textId="77777777" w:rsidR="00D4666F" w:rsidRDefault="00D4666F" w:rsidP="00DC708E">
      <w:pPr>
        <w:tabs>
          <w:tab w:val="left" w:pos="9540"/>
        </w:tabs>
        <w:ind w:left="720" w:right="1440"/>
        <w:rPr>
          <w:rFonts w:ascii="Times New Roman" w:hAnsi="Times New Roman" w:cs="Times New Roman"/>
          <w:sz w:val="24"/>
          <w:szCs w:val="24"/>
        </w:rPr>
      </w:pPr>
    </w:p>
    <w:p w14:paraId="7A3AFF8D" w14:textId="77777777" w:rsidR="00D4666F" w:rsidRPr="00164FBF" w:rsidRDefault="00D4666F" w:rsidP="00DC708E">
      <w:pPr>
        <w:ind w:left="720"/>
        <w:rPr>
          <w:rFonts w:ascii="Times New Roman" w:hAnsi="Times New Roman" w:cs="Times New Roman"/>
          <w:sz w:val="24"/>
          <w:szCs w:val="24"/>
        </w:rPr>
      </w:pPr>
    </w:p>
    <w:sectPr w:rsidR="00D4666F" w:rsidRPr="00164FBF" w:rsidSect="00DC708E">
      <w:headerReference w:type="default" r:id="rId8"/>
      <w:type w:val="continuous"/>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E5512" w14:textId="77777777" w:rsidR="000932C3" w:rsidRDefault="000932C3" w:rsidP="000B78BC">
      <w:pPr>
        <w:spacing w:after="0" w:line="240" w:lineRule="auto"/>
      </w:pPr>
      <w:r>
        <w:separator/>
      </w:r>
    </w:p>
  </w:endnote>
  <w:endnote w:type="continuationSeparator" w:id="0">
    <w:p w14:paraId="6D1FBAE4" w14:textId="77777777" w:rsidR="000932C3" w:rsidRDefault="000932C3" w:rsidP="000B7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EA075" w14:textId="77777777" w:rsidR="000932C3" w:rsidRDefault="000932C3" w:rsidP="000B78BC">
      <w:pPr>
        <w:spacing w:after="0" w:line="240" w:lineRule="auto"/>
      </w:pPr>
      <w:r>
        <w:separator/>
      </w:r>
    </w:p>
  </w:footnote>
  <w:footnote w:type="continuationSeparator" w:id="0">
    <w:p w14:paraId="29688748" w14:textId="77777777" w:rsidR="000932C3" w:rsidRDefault="000932C3" w:rsidP="000B7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AC92" w14:textId="3701BDB6" w:rsidR="000B78BC" w:rsidRDefault="00864AEE" w:rsidP="00DC708E">
    <w:pPr>
      <w:pStyle w:val="Header"/>
      <w:tabs>
        <w:tab w:val="clear" w:pos="9360"/>
        <w:tab w:val="left" w:pos="0"/>
      </w:tabs>
      <w:jc w:val="center"/>
    </w:pPr>
    <w:r>
      <w:rPr>
        <w:noProof/>
      </w:rPr>
      <w:drawing>
        <wp:inline distT="0" distB="0" distL="0" distR="0" wp14:anchorId="58D7BC24" wp14:editId="4C6DEDFE">
          <wp:extent cx="6893560" cy="1554466"/>
          <wp:effectExtent l="0" t="0" r="2540" b="8255"/>
          <wp:docPr id="58" name="Picture 5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using and Homeless letterhead (4).png"/>
                  <pic:cNvPicPr/>
                </pic:nvPicPr>
                <pic:blipFill>
                  <a:blip r:embed="rId1">
                    <a:extLst>
                      <a:ext uri="{28A0092B-C50C-407E-A947-70E740481C1C}">
                        <a14:useLocalDpi xmlns:a14="http://schemas.microsoft.com/office/drawing/2010/main" val="0"/>
                      </a:ext>
                    </a:extLst>
                  </a:blip>
                  <a:stretch>
                    <a:fillRect/>
                  </a:stretch>
                </pic:blipFill>
                <pic:spPr>
                  <a:xfrm>
                    <a:off x="0" y="0"/>
                    <a:ext cx="6981672" cy="15743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6DEE"/>
    <w:multiLevelType w:val="hybridMultilevel"/>
    <w:tmpl w:val="07A6BB34"/>
    <w:lvl w:ilvl="0" w:tplc="098EC6AE">
      <w:start w:val="1"/>
      <w:numFmt w:val="bullet"/>
      <w:lvlText w:val=""/>
      <w:lvlJc w:val="righ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254A17"/>
    <w:multiLevelType w:val="hybridMultilevel"/>
    <w:tmpl w:val="34D2AB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8A1181C"/>
    <w:multiLevelType w:val="hybridMultilevel"/>
    <w:tmpl w:val="39A2858A"/>
    <w:lvl w:ilvl="0" w:tplc="DAAC9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0E16E5"/>
    <w:multiLevelType w:val="hybridMultilevel"/>
    <w:tmpl w:val="EA0A394A"/>
    <w:lvl w:ilvl="0" w:tplc="098EC6AE">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611322"/>
    <w:multiLevelType w:val="hybridMultilevel"/>
    <w:tmpl w:val="8012C994"/>
    <w:lvl w:ilvl="0" w:tplc="098EC6AE">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3A3168"/>
    <w:multiLevelType w:val="hybridMultilevel"/>
    <w:tmpl w:val="2D0805DE"/>
    <w:lvl w:ilvl="0" w:tplc="DAAC9E8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D261204"/>
    <w:multiLevelType w:val="hybridMultilevel"/>
    <w:tmpl w:val="450C50FC"/>
    <w:lvl w:ilvl="0" w:tplc="098EC6AE">
      <w:start w:val="1"/>
      <w:numFmt w:val="bullet"/>
      <w:lvlText w:val=""/>
      <w:lvlJc w:val="righ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B502D7"/>
    <w:multiLevelType w:val="hybridMultilevel"/>
    <w:tmpl w:val="CAD4D5F0"/>
    <w:lvl w:ilvl="0" w:tplc="DAAC9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EDA38B3"/>
    <w:multiLevelType w:val="hybridMultilevel"/>
    <w:tmpl w:val="29A88EA4"/>
    <w:lvl w:ilvl="0" w:tplc="9CC01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55401E"/>
    <w:multiLevelType w:val="hybridMultilevel"/>
    <w:tmpl w:val="7C80D56C"/>
    <w:lvl w:ilvl="0" w:tplc="373433F0">
      <w:start w:val="1"/>
      <w:numFmt w:val="decimal"/>
      <w:lvlText w:val="%1."/>
      <w:lvlJc w:val="right"/>
      <w:pPr>
        <w:ind w:left="1005" w:hanging="360"/>
      </w:pPr>
      <w:rPr>
        <w:rFonts w:asciiTheme="minorHAnsi" w:eastAsiaTheme="minorHAnsi" w:hAnsiTheme="minorHAnsi" w:cstheme="minorBidi"/>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0" w15:restartNumberingAfterBreak="0">
    <w:nsid w:val="5B0803F7"/>
    <w:multiLevelType w:val="hybridMultilevel"/>
    <w:tmpl w:val="D18C7B26"/>
    <w:lvl w:ilvl="0" w:tplc="4E4418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226068A"/>
    <w:multiLevelType w:val="hybridMultilevel"/>
    <w:tmpl w:val="28047F4A"/>
    <w:lvl w:ilvl="0" w:tplc="098EC6AE">
      <w:start w:val="1"/>
      <w:numFmt w:val="bullet"/>
      <w:lvlText w:val=""/>
      <w:lvlJc w:val="righ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F794749"/>
    <w:multiLevelType w:val="hybridMultilevel"/>
    <w:tmpl w:val="0AA6F7A8"/>
    <w:lvl w:ilvl="0" w:tplc="098EC6AE">
      <w:start w:val="1"/>
      <w:numFmt w:val="bullet"/>
      <w:lvlText w:val=""/>
      <w:lvlJc w:val="righ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0594C60"/>
    <w:multiLevelType w:val="hybridMultilevel"/>
    <w:tmpl w:val="65200E2E"/>
    <w:lvl w:ilvl="0" w:tplc="F4482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C727B17"/>
    <w:multiLevelType w:val="hybridMultilevel"/>
    <w:tmpl w:val="5F186F58"/>
    <w:lvl w:ilvl="0" w:tplc="B52E560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6241324">
    <w:abstractNumId w:val="4"/>
  </w:num>
  <w:num w:numId="2" w16cid:durableId="928537895">
    <w:abstractNumId w:val="0"/>
  </w:num>
  <w:num w:numId="3" w16cid:durableId="1302811853">
    <w:abstractNumId w:val="12"/>
  </w:num>
  <w:num w:numId="4" w16cid:durableId="783622106">
    <w:abstractNumId w:val="3"/>
  </w:num>
  <w:num w:numId="5" w16cid:durableId="535699947">
    <w:abstractNumId w:val="8"/>
  </w:num>
  <w:num w:numId="6" w16cid:durableId="1292977412">
    <w:abstractNumId w:val="11"/>
  </w:num>
  <w:num w:numId="7" w16cid:durableId="1468476869">
    <w:abstractNumId w:val="6"/>
  </w:num>
  <w:num w:numId="8" w16cid:durableId="1605065465">
    <w:abstractNumId w:val="10"/>
  </w:num>
  <w:num w:numId="9" w16cid:durableId="1336807092">
    <w:abstractNumId w:val="9"/>
  </w:num>
  <w:num w:numId="10" w16cid:durableId="2029865754">
    <w:abstractNumId w:val="13"/>
  </w:num>
  <w:num w:numId="11" w16cid:durableId="16277082">
    <w:abstractNumId w:val="1"/>
  </w:num>
  <w:num w:numId="12" w16cid:durableId="1817989841">
    <w:abstractNumId w:val="2"/>
  </w:num>
  <w:num w:numId="13" w16cid:durableId="1880818496">
    <w:abstractNumId w:val="5"/>
  </w:num>
  <w:num w:numId="14" w16cid:durableId="1089161920">
    <w:abstractNumId w:val="7"/>
  </w:num>
  <w:num w:numId="15" w16cid:durableId="10533862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1MTExMzG1MDcxsTBU0lEKTi0uzszPAykwqgUAolQVPiwAAAA="/>
  </w:docVars>
  <w:rsids>
    <w:rsidRoot w:val="000B78BC"/>
    <w:rsid w:val="000932C3"/>
    <w:rsid w:val="000B78BC"/>
    <w:rsid w:val="00121BA4"/>
    <w:rsid w:val="00164FBF"/>
    <w:rsid w:val="001B4DAD"/>
    <w:rsid w:val="001E4A30"/>
    <w:rsid w:val="00211CEF"/>
    <w:rsid w:val="002563DE"/>
    <w:rsid w:val="00276454"/>
    <w:rsid w:val="002C238D"/>
    <w:rsid w:val="002D783C"/>
    <w:rsid w:val="00457AD7"/>
    <w:rsid w:val="004C4CFA"/>
    <w:rsid w:val="00506699"/>
    <w:rsid w:val="005358E8"/>
    <w:rsid w:val="00541FD1"/>
    <w:rsid w:val="00544AE5"/>
    <w:rsid w:val="005B23BA"/>
    <w:rsid w:val="005D0046"/>
    <w:rsid w:val="005E29F1"/>
    <w:rsid w:val="00653E3B"/>
    <w:rsid w:val="006814A3"/>
    <w:rsid w:val="006A61C3"/>
    <w:rsid w:val="00727523"/>
    <w:rsid w:val="007B3B67"/>
    <w:rsid w:val="007B50C4"/>
    <w:rsid w:val="0086029F"/>
    <w:rsid w:val="00864AEE"/>
    <w:rsid w:val="00944FC0"/>
    <w:rsid w:val="009E7017"/>
    <w:rsid w:val="00A655F6"/>
    <w:rsid w:val="00AA7B2B"/>
    <w:rsid w:val="00BA58EE"/>
    <w:rsid w:val="00BB000E"/>
    <w:rsid w:val="00C00753"/>
    <w:rsid w:val="00C72E57"/>
    <w:rsid w:val="00C81246"/>
    <w:rsid w:val="00D4666F"/>
    <w:rsid w:val="00DC708E"/>
    <w:rsid w:val="00DF0280"/>
    <w:rsid w:val="00E5291C"/>
    <w:rsid w:val="00E72CAE"/>
    <w:rsid w:val="00E800D8"/>
    <w:rsid w:val="00EE3843"/>
    <w:rsid w:val="00EE5684"/>
    <w:rsid w:val="00FE0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C5768"/>
  <w15:docId w15:val="{75605902-B404-4238-A09E-CFA771A0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8BC"/>
  </w:style>
  <w:style w:type="paragraph" w:styleId="Footer">
    <w:name w:val="footer"/>
    <w:basedOn w:val="Normal"/>
    <w:link w:val="FooterChar"/>
    <w:uiPriority w:val="99"/>
    <w:unhideWhenUsed/>
    <w:rsid w:val="000B7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8BC"/>
  </w:style>
  <w:style w:type="paragraph" w:styleId="BalloonText">
    <w:name w:val="Balloon Text"/>
    <w:basedOn w:val="Normal"/>
    <w:link w:val="BalloonTextChar"/>
    <w:uiPriority w:val="99"/>
    <w:semiHidden/>
    <w:unhideWhenUsed/>
    <w:rsid w:val="000B7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8BC"/>
    <w:rPr>
      <w:rFonts w:ascii="Tahoma" w:hAnsi="Tahoma" w:cs="Tahoma"/>
      <w:sz w:val="16"/>
      <w:szCs w:val="16"/>
    </w:rPr>
  </w:style>
  <w:style w:type="paragraph" w:styleId="ListParagraph">
    <w:name w:val="List Paragraph"/>
    <w:basedOn w:val="Normal"/>
    <w:uiPriority w:val="34"/>
    <w:qFormat/>
    <w:rsid w:val="00E52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04761">
      <w:bodyDiv w:val="1"/>
      <w:marLeft w:val="0"/>
      <w:marRight w:val="0"/>
      <w:marTop w:val="0"/>
      <w:marBottom w:val="0"/>
      <w:divBdr>
        <w:top w:val="none" w:sz="0" w:space="0" w:color="auto"/>
        <w:left w:val="none" w:sz="0" w:space="0" w:color="auto"/>
        <w:bottom w:val="none" w:sz="0" w:space="0" w:color="auto"/>
        <w:right w:val="none" w:sz="0" w:space="0" w:color="auto"/>
      </w:divBdr>
    </w:div>
    <w:div w:id="194218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4D8A2-B798-4033-9638-C338AEE80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Stuart</dc:creator>
  <cp:lastModifiedBy>Miranda Eddy</cp:lastModifiedBy>
  <cp:revision>2</cp:revision>
  <cp:lastPrinted>2020-02-05T16:04:00Z</cp:lastPrinted>
  <dcterms:created xsi:type="dcterms:W3CDTF">2022-09-13T18:05:00Z</dcterms:created>
  <dcterms:modified xsi:type="dcterms:W3CDTF">2022-09-13T18:05:00Z</dcterms:modified>
</cp:coreProperties>
</file>